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spacing w:before="0" w:after="20" w:line="252" w:lineRule="auto"/>
      </w:pPr>
      <w:r>
        <w:rPr>
          <w:rFonts w:ascii="Calibri" w:hAnsi="Calibri"/>
          <w:b/>
          <w:color w:val="0D9488"/>
          <w:sz w:val="52"/>
          <w:szCs w:val="52"/>
        </w:rPr>
        <w:t xml:space="preserve">Jane Doe</w:t>
      </w:r>
    </w:p>
    <w:p>
      <w:pPr>
        <w:spacing w:before="0" w:after="200" w:line="252" w:lineRule="auto"/>
      </w:pPr>
      <w:r>
        <w:rPr>
          <w:rFonts w:ascii="Calibri" w:hAnsi="Calibri"/>
          <w:color w:val="6A6A6A"/>
          <w:sz w:val="17"/>
          <w:szCs w:val="17"/>
        </w:rPr>
        <w:t xml:space="preserve">San Francisco, CA  ·  jane@example.com  ·  (415) 555-0100  ·  linkedin.com/in/janedoe</w:t>
      </w:r>
    </w:p>
    <w:p>
      <w:pPr>
        <w:spacing w:before="160" w:after="80" w:line="252" w:lineRule="auto"/>
        <w:pBdr>
          <w:bottom w:val="single" w:sz="6" w:space="2" w:color="D9D9D9"/>
        </w:pBdr>
      </w:pPr>
      <w:r>
        <w:rPr>
          <w:rFonts w:ascii="Calibri" w:hAnsi="Calibri"/>
          <w:b/>
          <w:caps/>
          <w:color w:val="0D9488"/>
          <w:spacing w:val="20"/>
          <w:sz w:val="20"/>
          <w:szCs w:val="20"/>
        </w:rPr>
        <w:t xml:space="preserve">Professional Summary</w:t>
      </w:r>
    </w:p>
    <w:p>
      <w:pPr>
        <w:spacing w:before="0" w:after="60" w:line="252" w:lineRule="auto"/>
      </w:pPr>
      <w:r>
        <w:rPr>
          <w:rFonts w:ascii="Calibri" w:hAnsi="Calibri"/>
          <w:color w:val="404040"/>
          <w:sz w:val="20"/>
          <w:szCs w:val="20"/>
        </w:rPr>
        <w:t xml:space="preserve">Machine learning engineer with 6+ years building LLM and retrieval systems in production across search, ranking, and evaluation. Shipped ATS-safe résumé parsing for 30,000 users and cut p95 latency 38% across the public API.</w:t>
      </w:r>
    </w:p>
    <w:p>
      <w:pPr>
        <w:spacing w:before="160" w:after="80" w:line="252" w:lineRule="auto"/>
        <w:pBdr>
          <w:bottom w:val="single" w:sz="6" w:space="2" w:color="D9D9D9"/>
        </w:pBdr>
      </w:pPr>
      <w:r>
        <w:rPr>
          <w:rFonts w:ascii="Calibri" w:hAnsi="Calibri"/>
          <w:b/>
          <w:caps/>
          <w:color w:val="0D9488"/>
          <w:spacing w:val="20"/>
          <w:sz w:val="20"/>
          <w:szCs w:val="20"/>
        </w:rPr>
        <w:t xml:space="preserve">Experience</w:t>
      </w:r>
    </w:p>
    <w:p>
      <w:pPr>
        <w:spacing w:before="90" w:after="10" w:line="252" w:lineRule="auto"/>
      </w:pPr>
      <w:r>
        <w:rPr>
          <w:rFonts w:ascii="Calibri" w:hAnsi="Calibri"/>
          <w:b/>
          <w:color w:val="0D9488"/>
          <w:sz w:val="21"/>
          <w:szCs w:val="21"/>
        </w:rPr>
        <w:t xml:space="preserve">Senior ML Engineer</w:t>
      </w:r>
      <w:r>
        <w:rPr>
          <w:rFonts w:ascii="Calibri" w:hAnsi="Calibri"/>
          <w:b/>
          <w:color w:val="191A23"/>
          <w:sz w:val="21"/>
          <w:szCs w:val="21"/>
        </w:rPr>
        <w:t xml:space="preserve">  |  Acme AI</w:t>
      </w:r>
    </w:p>
    <w:p>
      <w:pPr>
        <w:spacing w:before="0" w:after="60" w:line="252" w:lineRule="auto"/>
      </w:pPr>
      <w:r>
        <w:rPr>
          <w:rFonts w:ascii="Calibri" w:hAnsi="Calibri"/>
          <w:i/>
          <w:color w:val="8A8A8A"/>
          <w:sz w:val="17"/>
          <w:szCs w:val="17"/>
        </w:rPr>
        <w:t xml:space="preserve">2022 — Present  ·  San Francisco, CA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Built the model-serving layer powering 12M inferences/day at 99.9% uptime, cutting p95 latency 38%.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Led retrieval-quality work that lifted answer accuracy 21% across 4 production models.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Shipped an offline eval harness (LLM-as-judge) adopted by 5 teams to gate every model release.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Scaled A/B-tested ranking experiments across 40+ launches, adding $3.2M in annual revenue.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Mentored 6 engineers and ran the on-call rotation that cut Sev-2 incidents 44% year over year.</w:t>
      </w:r>
    </w:p>
    <w:p>
      <w:pPr>
        <w:spacing w:before="90" w:after="10" w:line="252" w:lineRule="auto"/>
      </w:pPr>
      <w:r>
        <w:rPr>
          <w:rFonts w:ascii="Calibri" w:hAnsi="Calibri"/>
          <w:b/>
          <w:color w:val="0D9488"/>
          <w:sz w:val="21"/>
          <w:szCs w:val="21"/>
        </w:rPr>
        <w:t xml:space="preserve">Machine Learning Engineer</w:t>
      </w:r>
      <w:r>
        <w:rPr>
          <w:rFonts w:ascii="Calibri" w:hAnsi="Calibri"/>
          <w:b/>
          <w:color w:val="191A23"/>
          <w:sz w:val="21"/>
          <w:szCs w:val="21"/>
        </w:rPr>
        <w:t xml:space="preserve">  |  DataForge</w:t>
      </w:r>
    </w:p>
    <w:p>
      <w:pPr>
        <w:spacing w:before="0" w:after="60" w:line="252" w:lineRule="auto"/>
      </w:pPr>
      <w:r>
        <w:rPr>
          <w:rFonts w:ascii="Calibri" w:hAnsi="Calibri"/>
          <w:i/>
          <w:color w:val="8A8A8A"/>
          <w:sz w:val="17"/>
          <w:szCs w:val="17"/>
        </w:rPr>
        <w:t xml:space="preserve">2019 — 2022  ·  Remote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Shipped a vector-search pipeline over 40M documents with sub-100ms retrieval.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Cut model training cost 27% by moving feature pipelines to Spark and Parquet.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Designed the feature store powering 30+ models, cutting training-data build time from days to hours.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Partnered with product to ship semantic search that lifted conversion 12% across 3 deployments.</w:t>
      </w:r>
    </w:p>
    <w:p>
      <w:pPr>
        <w:spacing w:before="90" w:after="10" w:line="252" w:lineRule="auto"/>
      </w:pPr>
      <w:r>
        <w:rPr>
          <w:rFonts w:ascii="Calibri" w:hAnsi="Calibri"/>
          <w:b/>
          <w:color w:val="0D9488"/>
          <w:sz w:val="21"/>
          <w:szCs w:val="21"/>
        </w:rPr>
        <w:t xml:space="preserve">Data Scientist</w:t>
      </w:r>
      <w:r>
        <w:rPr>
          <w:rFonts w:ascii="Calibri" w:hAnsi="Calibri"/>
          <w:b/>
          <w:color w:val="191A23"/>
          <w:sz w:val="21"/>
          <w:szCs w:val="21"/>
        </w:rPr>
        <w:t xml:space="preserve">  |  Northwind</w:t>
      </w:r>
    </w:p>
    <w:p>
      <w:pPr>
        <w:spacing w:before="0" w:after="60" w:line="252" w:lineRule="auto"/>
      </w:pPr>
      <w:r>
        <w:rPr>
          <w:rFonts w:ascii="Calibri" w:hAnsi="Calibri"/>
          <w:i/>
          <w:color w:val="8A8A8A"/>
          <w:sz w:val="17"/>
          <w:szCs w:val="17"/>
        </w:rPr>
        <w:t xml:space="preserve">2018 — 2019  ·  New York, NY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Built churn models (AUC 0.89) that informed a retention program worth $1.2M ARR.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Automated executive reporting with Airflow and dbt, replacing 20 hours/week of manual analysis.</w:t>
      </w:r>
    </w:p>
    <w:p>
      <w:pPr>
        <w:spacing w:before="160" w:after="80" w:line="252" w:lineRule="auto"/>
        <w:pBdr>
          <w:bottom w:val="single" w:sz="6" w:space="2" w:color="D9D9D9"/>
        </w:pBdr>
      </w:pPr>
      <w:r>
        <w:rPr>
          <w:rFonts w:ascii="Calibri" w:hAnsi="Calibri"/>
          <w:b/>
          <w:caps/>
          <w:color w:val="0D9488"/>
          <w:spacing w:val="20"/>
          <w:sz w:val="20"/>
          <w:szCs w:val="20"/>
        </w:rPr>
        <w:t xml:space="preserve">Selected Projects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OpenRAG — open-source retrieval-eval toolkit; 2.1k GitHub stars, used by 40+ teams.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LatencyLab — inference profiler behind the p95 latency win shipped at Acme AI.</w:t>
      </w:r>
    </w:p>
    <w:p>
      <w:pPr>
        <w:spacing w:before="160" w:after="80" w:line="252" w:lineRule="auto"/>
        <w:pBdr>
          <w:bottom w:val="single" w:sz="6" w:space="2" w:color="D9D9D9"/>
        </w:pBdr>
      </w:pPr>
      <w:r>
        <w:rPr>
          <w:rFonts w:ascii="Calibri" w:hAnsi="Calibri"/>
          <w:b/>
          <w:caps/>
          <w:color w:val="0D9488"/>
          <w:spacing w:val="20"/>
          <w:sz w:val="20"/>
          <w:szCs w:val="20"/>
        </w:rPr>
        <w:t xml:space="preserve">Education</w:t>
      </w:r>
    </w:p>
    <w:p>
      <w:pPr>
        <w:spacing w:before="90" w:after="10" w:line="252" w:lineRule="auto"/>
      </w:pPr>
      <w:r>
        <w:rPr>
          <w:rFonts w:ascii="Calibri" w:hAnsi="Calibri"/>
          <w:b/>
          <w:color w:val="0D9488"/>
          <w:sz w:val="21"/>
          <w:szCs w:val="21"/>
        </w:rPr>
        <w:t xml:space="preserve">BSc Computer Science</w:t>
      </w:r>
      <w:r>
        <w:rPr>
          <w:rFonts w:ascii="Calibri" w:hAnsi="Calibri"/>
          <w:b/>
          <w:color w:val="191A23"/>
          <w:sz w:val="21"/>
          <w:szCs w:val="21"/>
        </w:rPr>
        <w:t xml:space="preserve">  |  State University</w:t>
      </w:r>
    </w:p>
    <w:p>
      <w:pPr>
        <w:spacing w:before="0" w:after="60" w:line="252" w:lineRule="auto"/>
      </w:pPr>
      <w:r>
        <w:rPr>
          <w:rFonts w:ascii="Calibri" w:hAnsi="Calibri"/>
          <w:i/>
          <w:color w:val="8A8A8A"/>
          <w:sz w:val="17"/>
          <w:szCs w:val="17"/>
        </w:rPr>
        <w:t xml:space="preserve">2014 — 2018  ·  Dean's List</w:t>
      </w:r>
    </w:p>
    <w:p>
      <w:pPr>
        <w:spacing w:before="160" w:after="80" w:line="252" w:lineRule="auto"/>
        <w:pBdr>
          <w:bottom w:val="single" w:sz="6" w:space="2" w:color="D9D9D9"/>
        </w:pBdr>
      </w:pPr>
      <w:r>
        <w:rPr>
          <w:rFonts w:ascii="Calibri" w:hAnsi="Calibri"/>
          <w:b/>
          <w:caps/>
          <w:color w:val="0D9488"/>
          <w:spacing w:val="20"/>
          <w:sz w:val="20"/>
          <w:szCs w:val="20"/>
        </w:rPr>
        <w:t xml:space="preserve">Skills</w:t>
      </w:r>
    </w:p>
    <w:p>
      <w:pPr>
        <w:spacing w:before="0" w:after="60" w:line="252" w:lineRule="auto"/>
      </w:pPr>
      <w:r>
        <w:rPr>
          <w:rFonts w:ascii="Calibri" w:hAnsi="Calibri"/>
          <w:color w:val="404040"/>
          <w:sz w:val="20"/>
          <w:szCs w:val="20"/>
        </w:rPr>
        <w:t xml:space="preserve">ML: PyTorch, Transformers, RAG, LLM evaluation, vector search, fine-tuning</w:t>
      </w:r>
    </w:p>
    <w:p>
      <w:pPr>
        <w:spacing w:before="0" w:after="60" w:line="252" w:lineRule="auto"/>
      </w:pPr>
      <w:r>
        <w:rPr>
          <w:rFonts w:ascii="Calibri" w:hAnsi="Calibri"/>
          <w:color w:val="404040"/>
          <w:sz w:val="20"/>
          <w:szCs w:val="20"/>
        </w:rPr>
        <w:t xml:space="preserve">Platform: Python, Ray, Spark, Kubernetes, AWS, Triton</w:t>
      </w:r>
    </w:p>
    <w:p>
      <w:pPr>
        <w:spacing w:before="0" w:after="60" w:line="252" w:lineRule="auto"/>
      </w:pPr>
      <w:r>
        <w:rPr>
          <w:rFonts w:ascii="Calibri" w:hAnsi="Calibri"/>
          <w:color w:val="404040"/>
          <w:sz w:val="20"/>
          <w:szCs w:val="20"/>
        </w:rPr>
        <w:t xml:space="preserve">Data: Postgres, BigQuery, Airflow, dbt, Kafka, Redis</w:t>
      </w:r>
    </w:p>
    <w:sectPr>
      <w:pgSz w:w="12240" w:h="15840"/>
      <w:pgMar w:top="1080" w:right="1152" w:bottom="1080" w:left="1152" w:header="720" w:footer="720" w:gutter="0"/>
    </w:sectPr>
  </w:body>
</w:document>
</file>

<file path=word/_rels/document.xml.rels><?xml version="1.0" encoding="UTF-8" standalone="yes"?>
<Relationships xmlns="http://schemas.openxmlformats.org/package/2006/relationships"/>
</file>

<file path=docProps/core.xml><?xml version="1.0" encoding="utf-8"?>
<cp:coreProperties xmlns:cp="http://schemas.openxmlformats.org/package/2006/metadata/core-properties" xmlns:dc="http://purl.org/dc/elements/1.1/">
  <dc:title>devfound Resume Template — Neat</dc:title>
  <dc:creator>devfound.ai</dc:creator>
</cp:coreProperties>
</file>